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924" w:rsidRDefault="007F4924" w:rsidP="007F492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7/2023</w:t>
      </w:r>
    </w:p>
    <w:p w:rsidR="007F4924" w:rsidRDefault="007F4924" w:rsidP="007F492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7F4924" w:rsidRDefault="007F4924" w:rsidP="007F4924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7F4924" w:rsidRDefault="007F4924" w:rsidP="007F49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7F4924" w:rsidRDefault="007F4924" w:rsidP="007F492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ab/>
        <w:t>Rok akademicki  2023/2024</w:t>
      </w:r>
    </w:p>
    <w:p w:rsidR="007F4924" w:rsidRDefault="007F4924" w:rsidP="007F4924">
      <w:pPr>
        <w:spacing w:after="0" w:line="240" w:lineRule="auto"/>
        <w:rPr>
          <w:rFonts w:ascii="Corbel" w:hAnsi="Corbel"/>
          <w:sz w:val="24"/>
          <w:szCs w:val="24"/>
        </w:rPr>
      </w:pPr>
    </w:p>
    <w:p w:rsidR="007F4924" w:rsidRDefault="007F4924" w:rsidP="007F49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prawa rodzinnego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</w:p>
        </w:tc>
      </w:tr>
      <w:tr w:rsidR="007F4924" w:rsidTr="002829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F4924" w:rsidRDefault="007F4924" w:rsidP="007F49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F4924" w:rsidRDefault="007F4924" w:rsidP="007F49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4924" w:rsidRDefault="007F4924" w:rsidP="007F492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4924" w:rsidRDefault="007F4924" w:rsidP="007F49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7F4924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4924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F4924" w:rsidRDefault="007F4924" w:rsidP="007F49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4924" w:rsidRDefault="007F4924" w:rsidP="007F49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4924" w:rsidRDefault="007F4924" w:rsidP="007F49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F4924" w:rsidRDefault="007F4924" w:rsidP="007F49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7F4924" w:rsidRDefault="007F4924" w:rsidP="007F49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4924" w:rsidRDefault="007F4924" w:rsidP="007F49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4924" w:rsidRDefault="007F4924" w:rsidP="007F49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F4924" w:rsidTr="002829F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Posiadanie  przez studenta podstawowej wiedzy z zakresu  pedagogiki  (ze szczególnym uwzględnieniem  pedagogiki rodziny), socjologii, psychologii.</w:t>
            </w: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szCs w:val="24"/>
        </w:rPr>
      </w:pPr>
    </w:p>
    <w:p w:rsidR="007F4924" w:rsidRDefault="007F4924" w:rsidP="007F492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7F4924" w:rsidRDefault="007F4924" w:rsidP="007F49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7F4924" w:rsidTr="002829F9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Posiadanie  przez studenta  podstawowej wiedzy z zakresu  prawa rodzinnego.</w:t>
            </w:r>
          </w:p>
        </w:tc>
      </w:tr>
      <w:tr w:rsidR="007F4924" w:rsidTr="002829F9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przez studenta  umiejętności  prawidłowej interpretacji przepisów z zakresu  prawa  rodzinnego.</w:t>
            </w:r>
          </w:p>
        </w:tc>
      </w:tr>
      <w:tr w:rsidR="007F4924" w:rsidTr="002829F9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przez studenta  umiejętności  rozwiązywania  sytuacji  na gruncie  przepisów</w:t>
            </w:r>
          </w:p>
          <w:p w:rsidR="007F4924" w:rsidRDefault="007F492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prawa  rodzinnego  wynikających,  zarówno z życia codziennego jednostki, jak  też   problemowych - dotyczących jej   życia  małżeńskiego i rodzinnego.</w:t>
            </w: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4924" w:rsidRDefault="007F4924" w:rsidP="007F49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7F4924" w:rsidRDefault="007F4924" w:rsidP="007F49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6"/>
        <w:gridCol w:w="1833"/>
      </w:tblGrid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Przedstawi prawne podstawy funkcjonowania instytucji i organizacji zajmujących się pomocą rodzinie.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Scharakteryzuje </w:t>
            </w:r>
            <w:r w:rsidRPr="00007A68">
              <w:rPr>
                <w:rFonts w:ascii="Corbel" w:eastAsia="SimSun" w:hAnsi="Corbel"/>
                <w:b/>
                <w:kern w:val="3"/>
                <w:sz w:val="24"/>
                <w:szCs w:val="24"/>
                <w:lang w:eastAsia="zh-CN" w:bidi="hi-IN"/>
              </w:rPr>
              <w:t>w zaawanansowanym stopniu</w:t>
            </w:r>
            <w:r w:rsidRPr="00007A68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normy i procedury stosowane w instytucjach i organizacjach, których zasadniczym</w:t>
            </w:r>
          </w:p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>celem  jest wsparcie   rodziny.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Dokona, w oparciu o posiadaną przez siebie wiedzę  </w:t>
            </w:r>
          </w:p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z zakresu „podstaw  prawa rodzinnego”  analizy i interpretacji własnych działań i umiejętności związanych z  prawnym wspieraniem rodziny.</w:t>
            </w:r>
          </w:p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Z uwagi na  dynamiczny rozwój społeczeństwa i</w:t>
            </w:r>
          </w:p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dokonywane w związku z tym  zmiany w obowiązującym prawie, podejmuje  działania na rzecz własnego rozwoju w sferze poznawczej w tym obszarze, i rozwoju innych uczestników procesów pedagogicznych związanych z pracą na rzecz rodziny.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Wykorzysta podstawowe umiejętności w zakresie</w:t>
            </w:r>
          </w:p>
          <w:p w:rsidR="007F4924" w:rsidRDefault="007F4924" w:rsidP="002829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właściwej interpretacji przepisów  prawa rodzinnego</w:t>
            </w:r>
          </w:p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 planowania i realizacji zadań związanych z pracą z rodziną, z rodziną niewydolną wychowawczo, zdezorganizowaną i patologiczną.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Zastosuje przepisy prawa rodzinnego adekwatnie do zaistniałej sytuacji.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F4924" w:rsidTr="002829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Dokona krytycznej oceny posiadanej wiedzy, mając na względzie  dynamikę  zmian  przepisów prawa, wynikającą z  nieustannego  rozwoju  społeczeństwa.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4924" w:rsidRDefault="007F4924" w:rsidP="007F49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7F4924" w:rsidRDefault="007F4924" w:rsidP="007F4924">
      <w:pPr>
        <w:pStyle w:val="Akapitzlist"/>
        <w:numPr>
          <w:ilvl w:val="0"/>
          <w:numId w:val="1"/>
        </w:numPr>
        <w:spacing w:after="120" w:line="240" w:lineRule="auto"/>
        <w:ind w:left="107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7F4924" w:rsidRDefault="007F4924" w:rsidP="007F492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7F4924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cywilne - zagadnienia  podstawowe: podmiotowość  prawna jednostki, zdolność do czynności  prawnych  i jej zróżnicowanie na gruncie  kodeksu cywilnego, definicja stosunku prawnego, stosunek prawny i jego komponenty oraz dynamika na gruncie doktryny prawa, prawa podmiotowe  względne.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F4924" w:rsidRDefault="007F4924" w:rsidP="007F4924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rodzinne  - zagadnienia wprowadzające: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źródła  prawa rodzinnego w Polsce;</w:t>
            </w:r>
          </w:p>
          <w:p w:rsidR="007F4924" w:rsidRDefault="007F4924" w:rsidP="007F4924">
            <w:pPr>
              <w:pStyle w:val="Standard"/>
              <w:numPr>
                <w:ilvl w:val="0"/>
                <w:numId w:val="3"/>
              </w:numPr>
              <w:snapToGrid w:val="0"/>
              <w:spacing w:line="276" w:lineRule="auto"/>
              <w:textAlignment w:val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definicja  pojęcia  „rodzina” na gruncie doktryny prawa rodzinnego. Definicja rodziny w innych dziedzinach prawa (pomoc  społeczna, prawo karne). Aktualne ujęcie rodziny w socjologii;</w:t>
            </w:r>
          </w:p>
          <w:p w:rsidR="007F4924" w:rsidRDefault="007F4924" w:rsidP="007F4924">
            <w:pPr>
              <w:pStyle w:val="Standard"/>
              <w:numPr>
                <w:ilvl w:val="0"/>
                <w:numId w:val="3"/>
              </w:numPr>
              <w:snapToGrid w:val="0"/>
              <w:spacing w:line="276" w:lineRule="auto"/>
              <w:textAlignment w:val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rodzina  na gruncie doktryny prawa rodzinnego  i socjologii – analiza porównawcza;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 prawa  rodzinnego w kontekście statusu i ochrony  rodziny  w prawie  polskim.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Małżeństwo jako fundament  rodziny i tradycyjna forma życia  rodzinnego: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 jako specyficzny stosunek rodzinno-prawny (podmioty, zdolność do czynności  prawnej;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nawiązania  stosunku prawnego małżeństwa, ze szczególnym uwzględnieniem osób  małoletnich – procedury;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treść stosunku prawnego małżeństwa (katalog  obowiązków/praw);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ustanie stosunku prawnego  małżeństwa  ([rozwód, separacja -  przesłanki negatywne, pozytywne), przesłanki  rozwodowe i ich zróżnicowanie na gruncie orzecznictwa na podstawie kryterium winy (zawinione, niezawinione, mieszane), istota i skutki, rozwód a dziecko, procedury];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wygaśnięcie stosunku prawnego małżeństwa.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 problematyki w oparciu o kazusy.</w:t>
            </w:r>
          </w:p>
          <w:p w:rsidR="007F4924" w:rsidRDefault="007F492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instytucji małżeństwa w opinii społecznej w Polsce, rozwód  i separacja oraz  ich  przyczyny na gruncie statystyk w Polsce na  przestrzeni lat.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4.A. Władza rodzicielska – jako specyficzny  stosunek rodzinno-prawny i normatywnie  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uregulowany wzór  kulturowy stosunku  rodzic-dziecko: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dziecka na gruncie  kodeksu rodzinnego i opiekuńczego,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macierzyństwo  w świetle aktualnych regulacji prawnych,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rodzicielska  mężczyzny   męża matki (pochodzenie dziecka małżeńskiego, zaprzeczenie  ojcostwa); władza rodzicielska  mężczyzny w związku kohabitacyjnym (wyjątkowość jej  przyznania  w sytuacji ustalenia ojcostwa; uznanie ojcostwa – przesłanki procedura).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10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Rodzice dysfunkcyjni a władza rodzicielska - instytucje: ograniczenia, </w:t>
            </w:r>
          </w:p>
          <w:p w:rsidR="007F4924" w:rsidRPr="00FC7831" w:rsidRDefault="007F4924" w:rsidP="002829F9">
            <w:pPr>
              <w:spacing w:after="0"/>
              <w:ind w:left="720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lastRenderedPageBreak/>
              <w:t>zawieszenia,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pozbawienia  władzy  rodzicielskiej  na gruncie  (przesłanki, istota , skutki, procedura), skala zjawiska na gruncie   aktualnych danych statystycznych  w tym  obszarze . </w:t>
            </w:r>
          </w:p>
          <w:p w:rsidR="007F4924" w:rsidRPr="004D0B73" w:rsidRDefault="007F4924" w:rsidP="002829F9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 .</w:t>
            </w:r>
            <w:r w:rsidRPr="004D0B73">
              <w:rPr>
                <w:rFonts w:ascii="Corbel" w:hAnsi="Corbel"/>
                <w:sz w:val="24"/>
                <w:szCs w:val="24"/>
              </w:rPr>
              <w:t>Rodzina  przejawiająca trudności  opiekuńczo-wychowawcze  i formy jej</w:t>
            </w:r>
          </w:p>
          <w:p w:rsidR="007F4924" w:rsidRDefault="007F4924" w:rsidP="002829F9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 w:rsidRPr="00717005">
              <w:rPr>
                <w:rFonts w:ascii="Corbel" w:hAnsi="Corbel"/>
                <w:sz w:val="24"/>
                <w:szCs w:val="24"/>
              </w:rPr>
              <w:t xml:space="preserve"> wspomagania  na  gruncie   przepisów  ustawy o wspieraniu rodziny i systemie  pieczy zastępczej</w:t>
            </w:r>
            <w:r>
              <w:rPr>
                <w:rFonts w:ascii="Corbel" w:hAnsi="Corbel"/>
                <w:sz w:val="24"/>
                <w:szCs w:val="24"/>
              </w:rPr>
              <w:t xml:space="preserve"> – zagadnienia  wprowadzające .</w:t>
            </w:r>
          </w:p>
          <w:p w:rsidR="007F4924" w:rsidRDefault="007F4924" w:rsidP="002829F9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D. Przemoc  w rodzinie – z perspektywy  regulacji  prawnych , jako: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delikt  cywilny – naruszenie  praw  podmiotowych  bezwzględnych tj.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7831">
              <w:rPr>
                <w:rFonts w:ascii="Corbel" w:hAnsi="Corbel"/>
                <w:sz w:val="24"/>
                <w:szCs w:val="24"/>
              </w:rPr>
              <w:t>dóbr   osobistych  z art. 24  kodeksu cywilnego;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jako  przestępstwo (przeciwko: rodzinie  i opiece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, życiu  i zdrowiu, wolności 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seksual</w:t>
            </w:r>
            <w:r>
              <w:rPr>
                <w:rFonts w:ascii="Corbel" w:hAnsi="Corbel"/>
                <w:sz w:val="24"/>
                <w:szCs w:val="24"/>
              </w:rPr>
              <w:t>nej i obyczajności, wolności)</w:t>
            </w:r>
            <w:r w:rsidRPr="00FC7831">
              <w:rPr>
                <w:rFonts w:ascii="Corbel" w:hAnsi="Corbel"/>
                <w:sz w:val="24"/>
                <w:szCs w:val="24"/>
              </w:rPr>
              <w:t>;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ustawa o przeciwdziałaniu  przemocy domowej – regulacje z perspektywy ofiary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przemocy   ze szczególnym  uwzględnieniem  </w:t>
            </w:r>
            <w:r>
              <w:rPr>
                <w:rFonts w:ascii="Corbel" w:hAnsi="Corbel"/>
                <w:sz w:val="24"/>
                <w:szCs w:val="24"/>
              </w:rPr>
              <w:t>osoby dziecka  oraz jej sprawcy</w:t>
            </w:r>
            <w:r w:rsidRPr="00FC7831">
              <w:rPr>
                <w:rFonts w:ascii="Corbel" w:hAnsi="Corbel"/>
                <w:sz w:val="24"/>
                <w:szCs w:val="24"/>
              </w:rPr>
              <w:t>.</w:t>
            </w:r>
          </w:p>
          <w:p w:rsidR="007F4924" w:rsidRPr="00FC7831" w:rsidRDefault="007F4924" w:rsidP="002829F9">
            <w:pPr>
              <w:spacing w:after="0"/>
              <w:ind w:left="59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E. </w:t>
            </w:r>
            <w:r w:rsidRPr="00CE7C76">
              <w:rPr>
                <w:rFonts w:ascii="Corbel" w:hAnsi="Corbel"/>
                <w:sz w:val="24"/>
                <w:szCs w:val="24"/>
              </w:rPr>
              <w:t>Dziecko zagrożone nieprzystosowaniem społecznym, dziecko nieprzystosowan</w:t>
            </w:r>
            <w:r>
              <w:rPr>
                <w:rFonts w:ascii="Corbel" w:hAnsi="Corbel"/>
                <w:sz w:val="24"/>
                <w:szCs w:val="24"/>
              </w:rPr>
              <w:t>e s</w:t>
            </w:r>
            <w:r w:rsidRPr="00CE7C76">
              <w:rPr>
                <w:rFonts w:ascii="Corbel" w:hAnsi="Corbel"/>
                <w:sz w:val="24"/>
                <w:szCs w:val="24"/>
              </w:rPr>
              <w:t>połecznie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7C76">
              <w:rPr>
                <w:rFonts w:ascii="Corbel" w:hAnsi="Corbel"/>
                <w:sz w:val="24"/>
                <w:szCs w:val="24"/>
              </w:rPr>
              <w:t xml:space="preserve"> lub </w:t>
            </w:r>
            <w:r>
              <w:rPr>
                <w:rFonts w:ascii="Corbel" w:hAnsi="Corbel"/>
                <w:sz w:val="24"/>
                <w:szCs w:val="24"/>
              </w:rPr>
              <w:t xml:space="preserve">zagrożone </w:t>
            </w:r>
            <w:r w:rsidRPr="00CE7C76">
              <w:rPr>
                <w:rFonts w:ascii="Corbel" w:hAnsi="Corbel"/>
                <w:sz w:val="24"/>
                <w:szCs w:val="24"/>
              </w:rPr>
              <w:t>demoraliz</w:t>
            </w:r>
            <w:r>
              <w:rPr>
                <w:rFonts w:ascii="Corbel" w:hAnsi="Corbel"/>
                <w:sz w:val="24"/>
                <w:szCs w:val="24"/>
              </w:rPr>
              <w:t>acją  bądź</w:t>
            </w:r>
            <w:r w:rsidRPr="00CE7C7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zdemoralizowane  tj. w tzw.  „ niebezpieczeństwie”  i </w:t>
            </w:r>
            <w:r w:rsidRPr="00CE7C76">
              <w:rPr>
                <w:rFonts w:ascii="Corbel" w:hAnsi="Corbel"/>
                <w:sz w:val="24"/>
                <w:szCs w:val="24"/>
              </w:rPr>
              <w:t>jego wsparcie  w świetle  postanowień ustawy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7831">
              <w:rPr>
                <w:rFonts w:ascii="Corbel" w:hAnsi="Corbel"/>
                <w:sz w:val="24"/>
                <w:szCs w:val="24"/>
              </w:rPr>
              <w:t>o postępowaniu w sprawach  nieletnich</w:t>
            </w:r>
            <w:r>
              <w:rPr>
                <w:rFonts w:ascii="Corbel" w:hAnsi="Corbel"/>
                <w:sz w:val="24"/>
                <w:szCs w:val="24"/>
              </w:rPr>
              <w:t xml:space="preserve"> (zakres  podmiotowy  ustawy</w:t>
            </w:r>
            <w:r w:rsidRPr="00FC783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środki</w:t>
            </w:r>
            <w:r w:rsidRPr="00FC7831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wychowawcze, lecznicze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, zakład  poprawczy). </w:t>
            </w:r>
          </w:p>
          <w:p w:rsidR="007F4924" w:rsidRDefault="007F4924" w:rsidP="002829F9">
            <w:pPr>
              <w:pStyle w:val="Akapitzlist"/>
              <w:spacing w:after="0"/>
              <w:ind w:left="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F. Alimentacja  - jako  przejaw  realizacji  opiekuńczej funkcji  rodziny – zagadnienia  </w:t>
            </w:r>
          </w:p>
          <w:p w:rsidR="007F4924" w:rsidRPr="00CE7C76" w:rsidRDefault="007F4924" w:rsidP="002829F9">
            <w:pPr>
              <w:pStyle w:val="Akapitzlist"/>
              <w:spacing w:after="0"/>
              <w:ind w:left="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podstawowe.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5. Przysposobienie  dziecka  jako  stosunek rodzinno–prawny na gruncie kodeksu</w:t>
            </w:r>
          </w:p>
          <w:p w:rsidR="007F4924" w:rsidRPr="00CE7C76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rodzinnego i </w:t>
            </w:r>
            <w:r w:rsidRPr="00CE7C76">
              <w:rPr>
                <w:rFonts w:ascii="Corbel" w:hAnsi="Corbel"/>
                <w:sz w:val="24"/>
                <w:szCs w:val="24"/>
              </w:rPr>
              <w:t>opiekuńczego (istota, przesłanki, procedura, skutki):</w:t>
            </w:r>
          </w:p>
          <w:p w:rsidR="007F4924" w:rsidRPr="00CE7C76" w:rsidRDefault="007F4924" w:rsidP="007F4924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 przesłanki przysposobienia z perspektywy przyspasabiającego/ych i przysposabianego;  </w:t>
            </w:r>
            <w:r w:rsidRPr="00CE7C76">
              <w:rPr>
                <w:rFonts w:ascii="Corbel" w:hAnsi="Corbel"/>
                <w:sz w:val="24"/>
                <w:szCs w:val="24"/>
              </w:rPr>
              <w:t>- procedura  przygotowawcza i instytucje  ją realizujące;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zróżnicowanie instytucji adopcji z perspektywy  więzi   rodzinnej  dziecka  z rodziną 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przyspasabiającego/ych i  jego więzi z rodziną  pochodzenia  (adopcja całkowita jako    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optymalna  z perspektywy  osoby przysposabianego; adopcja pełna rozwiązywalna,  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adopcja  niepełna  rozwiązywalna);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adopcja zagraniczna.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Prawomocne  postanowienie Sądu  Rodzinnego jako podstawa  nawiązania więzi 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rodzinnej.</w:t>
            </w:r>
          </w:p>
          <w:p w:rsidR="007F4924" w:rsidRPr="00FC7831" w:rsidRDefault="007F49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Proceder  nielegalnych  adopcji</w:t>
            </w:r>
            <w:r>
              <w:rPr>
                <w:rFonts w:ascii="Corbel" w:hAnsi="Corbel"/>
                <w:sz w:val="24"/>
                <w:szCs w:val="24"/>
              </w:rPr>
              <w:t xml:space="preserve">  w Polsce  jako „szara strefa”</w:t>
            </w:r>
            <w:r w:rsidRPr="00FC7831">
              <w:rPr>
                <w:rFonts w:ascii="Corbel" w:hAnsi="Corbel"/>
                <w:sz w:val="24"/>
                <w:szCs w:val="24"/>
              </w:rPr>
              <w:t xml:space="preserve">  „handlu żywym towarem”- 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 jego  karalność  na gruncie kodeksu  karnego .Analiza  zjawiska  w oparciu  o dokument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„Oczy  Diabła” P.Vegi. 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6.A. Stosunek prawny opieki: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i wymogi formalnoprawne  (opiekun prawny i kryteria jego ustanawiania,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zróżnicowanie  podopiecznych  z perspektywy  wymogów  prawa  - małoletni, osoba  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pełnoletnia całkowicie  ubezwłasnowolniona);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 dotyczące  stosunku opieki  w Polsce  względem  osoby  dziecka ;</w:t>
            </w:r>
          </w:p>
          <w:p w:rsidR="007F4924" w:rsidRPr="00542370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ustanawianie  opiekuna – procedura i  tytuł  prawny do  realizacji przez niego stosunku  p      prawnego</w:t>
            </w:r>
            <w:r w:rsidRPr="00542370">
              <w:rPr>
                <w:rFonts w:ascii="Corbel" w:hAnsi="Corbel"/>
                <w:sz w:val="24"/>
                <w:szCs w:val="24"/>
              </w:rPr>
              <w:t xml:space="preserve"> opieki;</w:t>
            </w:r>
          </w:p>
          <w:p w:rsidR="007F4924" w:rsidRPr="00FC7831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FC7831">
              <w:rPr>
                <w:rFonts w:ascii="Corbel" w:hAnsi="Corbel"/>
                <w:sz w:val="24"/>
                <w:szCs w:val="24"/>
              </w:rPr>
              <w:t>treść  stosunku prawnego  opieki (wzajemne  obowiązki /uprawnienia);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wygaśnięcie  stosunku prawnego opieki, ustanie  stosunku prawnego opieki  </w:t>
            </w:r>
          </w:p>
          <w:p w:rsidR="007F4924" w:rsidRPr="00542370" w:rsidRDefault="007F4924" w:rsidP="007F4924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(z</w:t>
            </w:r>
            <w:r w:rsidRPr="00542370">
              <w:rPr>
                <w:rFonts w:ascii="Corbel" w:hAnsi="Corbel"/>
                <w:sz w:val="24"/>
                <w:szCs w:val="24"/>
              </w:rPr>
              <w:t>wolnienie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2370">
              <w:rPr>
                <w:rFonts w:ascii="Corbel" w:hAnsi="Corbel"/>
                <w:sz w:val="24"/>
                <w:szCs w:val="24"/>
              </w:rPr>
              <w:t xml:space="preserve"> opiekuna  prawnego z urzędu  lub na  jego wniosek, skutki).</w:t>
            </w:r>
          </w:p>
          <w:p w:rsidR="007F4924" w:rsidRDefault="007F49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B.  </w:t>
            </w:r>
            <w:r w:rsidRPr="00542370">
              <w:rPr>
                <w:rFonts w:ascii="Corbel" w:hAnsi="Corbel"/>
                <w:sz w:val="24"/>
                <w:szCs w:val="24"/>
              </w:rPr>
              <w:t xml:space="preserve">Rodzina zastępcza  jako </w:t>
            </w:r>
            <w:r>
              <w:rPr>
                <w:rFonts w:ascii="Corbel" w:hAnsi="Corbel"/>
                <w:sz w:val="24"/>
                <w:szCs w:val="24"/>
              </w:rPr>
              <w:t xml:space="preserve"> specyficzny  stosunek cywilnoprawny  (istota,</w:t>
            </w:r>
          </w:p>
          <w:p w:rsidR="007F4924" w:rsidRDefault="007F49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obowiązki/prawa, zróżnicowanie  owej  instytucji  w świetle  przepisów  ustawy  o   </w:t>
            </w:r>
          </w:p>
          <w:p w:rsidR="007F4924" w:rsidRPr="00542370" w:rsidRDefault="007F49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wspieraniu rodziny  i systemie  pieczy  zastępczej).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C. Rodzina zastępcza a rodzina adopcyjna – analiza  porównawcza.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Analiza zagadnień  w oparciu  o przepisy prawa  i kazusy.</w:t>
            </w:r>
          </w:p>
        </w:tc>
      </w:tr>
      <w:tr w:rsidR="007F4924" w:rsidTr="002829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Pr="00162BEA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7. Kuratela, jako specyficzny stosunek cywilno-prawny </w:t>
            </w:r>
            <w:r w:rsidRPr="00162BEA">
              <w:rPr>
                <w:rFonts w:ascii="Corbel" w:hAnsi="Corbel"/>
                <w:sz w:val="24"/>
                <w:szCs w:val="24"/>
              </w:rPr>
              <w:t>: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-zróżnicowanie  instytucji – zarys  zagadnienia;</w:t>
            </w:r>
          </w:p>
          <w:p w:rsidR="007F4924" w:rsidRDefault="007F4924" w:rsidP="007F4924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kuratela dla osoby częściowo ubezwłasnowolnionej i kuratela dla osoby z niepełnosprawnością  oraz  dla  dziecka  poczętego ( istota instytucji )</w:t>
            </w:r>
          </w:p>
          <w:p w:rsidR="007F4924" w:rsidRDefault="007F492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zagadnień  w oparciu  o przepisy prawa  i kazusy.</w:t>
            </w:r>
          </w:p>
        </w:tc>
      </w:tr>
    </w:tbl>
    <w:p w:rsidR="007F4924" w:rsidRPr="00692A9C" w:rsidRDefault="007F4924" w:rsidP="007F4924">
      <w:pPr>
        <w:spacing w:line="240" w:lineRule="auto"/>
        <w:ind w:left="71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</w:t>
      </w:r>
      <w:r w:rsidRPr="00692A9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4924" w:rsidRDefault="007F4924" w:rsidP="007F49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F4924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4924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4924" w:rsidRDefault="007F4924" w:rsidP="007F49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wykład  problemowy, analiza tekstów aktów  prawnych, dyskusja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7F4924" w:rsidRDefault="007F4924" w:rsidP="007F49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F4924" w:rsidRDefault="007F4924" w:rsidP="007F49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F4924" w:rsidRDefault="007F4924" w:rsidP="007F49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7F4924" w:rsidRDefault="007F4924" w:rsidP="007F49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4924" w:rsidRDefault="007F49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4924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F4924" w:rsidRDefault="007F4924" w:rsidP="007F49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F4924" w:rsidTr="002829F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Uzyskanie  pozytywnej  oceny z egzaminu.</w:t>
            </w:r>
          </w:p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F4924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F4924" w:rsidRDefault="007F4924" w:rsidP="007F49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7F4924" w:rsidRDefault="007F4924" w:rsidP="007F49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4924" w:rsidTr="002829F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4924" w:rsidTr="002829F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F4924" w:rsidRDefault="007F4924" w:rsidP="007F49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7F4924" w:rsidRDefault="007F4924" w:rsidP="007F49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4924" w:rsidTr="002829F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kodeks rodzinny  i opiekuńczy z dnia 25 lutego 1964 r. (tekst  ujednolicony – Dz.U. 2020, poz. 1359);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Kodeks rodzinny i opiekuńczy. Prawo o Aktach Stanu Cywilnego. Seria Twoje  Prawo , Wydawnictwo  C. H. Beck, Warszawa 2023;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kodeks cywilny  z 23 kwietnia 1964 roku (tekst ujednolicony – Dz.U. 2020 r., poz.1360);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Smyczyński T., Andrzejewski M. , Prawo rodzinne i opiekuńcze, Wydawnictwo C.H. Beck, Warszawa 2022;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Bieliński A. Pannert M., Prawo rodzinne, Wydawnictwo C.CH. Beck, Warszawa  2022;</w:t>
            </w:r>
          </w:p>
          <w:p w:rsidR="007F4924" w:rsidRPr="00667963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 w:rsidRPr="00667963">
              <w:rPr>
                <w:rFonts w:ascii="Corbel" w:hAnsi="Corbel"/>
                <w:b w:val="0"/>
                <w:smallCaps w:val="0"/>
              </w:rPr>
              <w:t>Łukasiewicz J., Łukasiewicz R.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  <w:r w:rsidRPr="00667963">
              <w:rPr>
                <w:rFonts w:ascii="Corbel" w:hAnsi="Corbel"/>
                <w:b w:val="0"/>
                <w:smallCaps w:val="0"/>
              </w:rPr>
              <w:t xml:space="preserve"> Prawo rodzinne ,Wydawnictwo Wolters Kluwer,</w:t>
            </w:r>
            <w:r>
              <w:rPr>
                <w:rFonts w:ascii="Corbel" w:hAnsi="Corbel"/>
                <w:b w:val="0"/>
                <w:smallCaps w:val="0"/>
              </w:rPr>
              <w:t xml:space="preserve"> Warszawa 2021</w:t>
            </w:r>
            <w:r w:rsidRPr="00667963">
              <w:rPr>
                <w:rFonts w:ascii="Corbel" w:hAnsi="Corbel"/>
                <w:b w:val="0"/>
                <w:smallCaps w:val="0"/>
              </w:rPr>
              <w:t>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Kodeks rodzinny i opiekuńczy. Komentarz, (red. Pietrzykowski K.), Wydawnictwo C. H. Beck, Warszawa 2023;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kodeks karny  z dnia  6 czerwca 1997 r. (Dz.U. 2022 r.,poz. 1138,1726,1859,2339, 2600; 2023 r. poz.289,403,818,852 – wejście w życie od  1 października 2023 r.);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z dnia 29 lipca  2005 roku o przeciwdziałaniu  przemocy domowej (tekst ujednolicony: Dz.U 2021 poz. 1249, 2023 r., poz. 289, 535);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z 9 czerwca  2022 roku o resocjalizacji  i wspieraniu nieletnich  (Dz.U. 2020 r., poz.1700);</w:t>
            </w:r>
          </w:p>
          <w:p w:rsidR="007F4924" w:rsidRPr="00FC7831" w:rsidRDefault="007F4924" w:rsidP="007F4924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ustawa z 9 czerwca 2011 roku o wspieraniu rodziny i systemie pieczy zastępczej ( tekst ujednolicony: Dz.U 2022 r. poz. : 447, 1700,2140 ; 2023 r. poz. : 403,535,819</w:t>
            </w:r>
            <w:r w:rsidRPr="00FC7831">
              <w:rPr>
                <w:rFonts w:ascii="Corbel" w:hAnsi="Corbel"/>
                <w:b w:val="0"/>
                <w:smallCaps w:val="0"/>
              </w:rPr>
              <w:t>);</w:t>
            </w:r>
          </w:p>
          <w:p w:rsidR="007F4924" w:rsidRPr="00877301" w:rsidRDefault="007F4924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</w:p>
        </w:tc>
      </w:tr>
      <w:tr w:rsidR="007F4924" w:rsidTr="002829F9">
        <w:trPr>
          <w:trHeight w:val="616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24" w:rsidRDefault="007F4924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F4924" w:rsidRPr="00667963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Kodeks  rodzinny i opiekuńczy. Komentarz, (red .Habdas M., Fras  M.), </w:t>
            </w:r>
            <w:r w:rsidRPr="00667963">
              <w:rPr>
                <w:rFonts w:ascii="Corbel" w:hAnsi="Corbel"/>
                <w:b w:val="0"/>
                <w:smallCaps w:val="0"/>
              </w:rPr>
              <w:t>Wydawnictwo Wolters Kluwer, Warszawa  2021;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Kodeks karny. Komentarz, (red. Mozgawa M.), Wydawnictwo Wolters Kluwer, Warszawa 2023; 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Juchno-Marcjan A. ,Sekuła- Barańska  K., , Rozwód. Praktyczny przewodnik, Wydawnictwo  Wolters  Kluwer, Warszawa 2022;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Grzelińska J., Rozwód  i separacja pomiędzy  małżonkami. Aspekty prawne  i majątkowe, Wydawnictwo Naukowe PWN, Warszawa 2022;</w:t>
            </w:r>
          </w:p>
          <w:p w:rsidR="007F4924" w:rsidRPr="00FC7831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Kamińska  K., Piecza  naprzemienna  rodziców żyjących w rozłączeniu, </w:t>
            </w:r>
            <w:r w:rsidRPr="00FC7831">
              <w:rPr>
                <w:rFonts w:ascii="Corbel" w:hAnsi="Corbel"/>
                <w:b w:val="0"/>
                <w:smallCaps w:val="0"/>
              </w:rPr>
              <w:t>Wydawnictwo  Wolters Kluwer, Warszawa  2022</w:t>
            </w:r>
            <w:r>
              <w:rPr>
                <w:rFonts w:ascii="Corbel" w:hAnsi="Corbel"/>
                <w:b w:val="0"/>
                <w:smallCaps w:val="0"/>
              </w:rPr>
              <w:t>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Wybrańczyk D., Sytuacja  prawna  małoletniego dziecka  rozwodzących się  rodziców, Wydawnictwo Wolters Kluwer, Warszawa 2022; 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Lewicka-Zelent A.,  Przemoc  rodzinna. Aspekty psychologiczne, </w:t>
            </w:r>
          </w:p>
          <w:p w:rsidR="007F4924" w:rsidRDefault="007F4924" w:rsidP="002829F9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pedagogiczne  i prawne, Wydawnictwo Difin, Warszawa  2022;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Witczak -Bruś P., Suragacja. Aspekty prawne macierzyństwa  zastępczego, Wydawnictwo Wolters Kluwer, Warszawa 2021; 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Wspieranie  i resocjalizacja  nieletnich. Komentarz (red. Górecki P., Kobes P., Konarska-Wrzosek  V. ), Wydawnictwo Wolters  Kluwer, Warszawa 2023;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Pawliczak J., Wach-Pawliczak M., Pozwy  i wnioski z prawa rodzinnego. Wzory. Komentarze. Orzecznictwo. Edytowane wzory dostępne na stronie  internetowej, Wydawnictwo Wolters Kluwer, Warszawa  2023;</w:t>
            </w:r>
          </w:p>
          <w:p w:rsidR="007F4924" w:rsidRDefault="007F4924" w:rsidP="007F4924">
            <w:pPr>
              <w:pStyle w:val="Standard"/>
              <w:numPr>
                <w:ilvl w:val="0"/>
                <w:numId w:val="11"/>
              </w:numPr>
              <w:spacing w:line="276" w:lineRule="auto"/>
              <w:textAlignment w:val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Slany K., Alternatywne formy życia małżeńsko-rodzinnego w ponowoczesnym świecie, Kraków 2002;</w:t>
            </w:r>
          </w:p>
          <w:p w:rsidR="007F4924" w:rsidRDefault="007F4924" w:rsidP="007F49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Kwak A., Współczesne związki heteroseksualne: małżeństwa (dobrowolnie  bezdzietne), kohabitacje , LAT; Wydawnictwo Akademickie Żak, Warszawa 2014;</w:t>
            </w:r>
          </w:p>
          <w:p w:rsidR="007F4924" w:rsidRPr="00667963" w:rsidRDefault="007F4924" w:rsidP="007F4924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Markowska-Gos E.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Kohabitacja  we współczesnym społeczeństwie polskim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- wybór czy konieczność? An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aliza  socjologiczno-prawna , w: „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Myśl  o wychowaniu. Teori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e  i zastosowanie edukacyjne” „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Culture-Changes-Education 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The  thought upbringing.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Theries and  educational use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”, T.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VIII,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(red.: Pelczar R.,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Frączek Z., Juśko  P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Karaś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P.,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Sommer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H.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67963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Wydawnic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two Uniwersytetu  Rzeszowskiego</w:t>
            </w:r>
            <w:r w:rsidRPr="00667963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Rzeszów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2020</w:t>
            </w:r>
            <w:r w:rsidRPr="00667963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s.: 106-132</w:t>
            </w:r>
            <w:r w:rsidRPr="00667963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7F4924" w:rsidRPr="00FC7831" w:rsidRDefault="007F4924" w:rsidP="007F4924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Mizielińska J., Struzi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 J. , Król A. , Różnym  głosem, Wydawnictwo PWN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Warszawa 2021;</w:t>
            </w:r>
          </w:p>
          <w:p w:rsidR="007F4924" w:rsidRPr="00FC7831" w:rsidRDefault="007F4924" w:rsidP="007F4924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Kwak A., Bieńko M.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Publiczny i prywatny obraz  blisk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ich związków, Wydawnictwo Nomos</w:t>
            </w:r>
            <w:r w:rsidRPr="00FC783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Kraków  2020.</w:t>
            </w:r>
          </w:p>
          <w:p w:rsidR="007F4924" w:rsidRDefault="007F4924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7F4924" w:rsidRDefault="007F4924" w:rsidP="007F49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4924" w:rsidRDefault="007F4924" w:rsidP="007F492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33F" w:rsidRDefault="0024733F" w:rsidP="007F4924">
      <w:pPr>
        <w:spacing w:after="0" w:line="240" w:lineRule="auto"/>
      </w:pPr>
      <w:r>
        <w:separator/>
      </w:r>
    </w:p>
  </w:endnote>
  <w:endnote w:type="continuationSeparator" w:id="0">
    <w:p w:rsidR="0024733F" w:rsidRDefault="0024733F" w:rsidP="007F4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33F" w:rsidRDefault="0024733F" w:rsidP="007F4924">
      <w:pPr>
        <w:spacing w:after="0" w:line="240" w:lineRule="auto"/>
      </w:pPr>
      <w:r>
        <w:separator/>
      </w:r>
    </w:p>
  </w:footnote>
  <w:footnote w:type="continuationSeparator" w:id="0">
    <w:p w:rsidR="0024733F" w:rsidRDefault="0024733F" w:rsidP="007F4924">
      <w:pPr>
        <w:spacing w:after="0" w:line="240" w:lineRule="auto"/>
      </w:pPr>
      <w:r>
        <w:continuationSeparator/>
      </w:r>
    </w:p>
  </w:footnote>
  <w:footnote w:id="1">
    <w:p w:rsidR="007F4924" w:rsidRDefault="007F4924" w:rsidP="007F49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EBF"/>
    <w:multiLevelType w:val="hybridMultilevel"/>
    <w:tmpl w:val="7F0A4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2B12"/>
    <w:multiLevelType w:val="hybridMultilevel"/>
    <w:tmpl w:val="3B349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877DBD"/>
    <w:multiLevelType w:val="hybridMultilevel"/>
    <w:tmpl w:val="07F0F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17C6D"/>
    <w:multiLevelType w:val="hybridMultilevel"/>
    <w:tmpl w:val="77264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701F4"/>
    <w:multiLevelType w:val="hybridMultilevel"/>
    <w:tmpl w:val="EFFC5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C0E2C"/>
    <w:multiLevelType w:val="hybridMultilevel"/>
    <w:tmpl w:val="DF5C7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731A6"/>
    <w:multiLevelType w:val="hybridMultilevel"/>
    <w:tmpl w:val="6708F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B1002"/>
    <w:multiLevelType w:val="hybridMultilevel"/>
    <w:tmpl w:val="15F6D23A"/>
    <w:lvl w:ilvl="0" w:tplc="04150001">
      <w:start w:val="1"/>
      <w:numFmt w:val="bullet"/>
      <w:lvlText w:val=""/>
      <w:lvlJc w:val="left"/>
      <w:pPr>
        <w:ind w:left="9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9" w15:restartNumberingAfterBreak="0">
    <w:nsid w:val="559E4E14"/>
    <w:multiLevelType w:val="hybridMultilevel"/>
    <w:tmpl w:val="1C48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59C3"/>
    <w:multiLevelType w:val="hybridMultilevel"/>
    <w:tmpl w:val="C7602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24"/>
    <w:rsid w:val="0024733F"/>
    <w:rsid w:val="00342D1A"/>
    <w:rsid w:val="007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9CB72-E2AB-4BF7-9B8C-19AA01AD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49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9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F49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F49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4924"/>
    <w:rPr>
      <w:vertAlign w:val="superscript"/>
    </w:rPr>
  </w:style>
  <w:style w:type="paragraph" w:customStyle="1" w:styleId="Punktygwne">
    <w:name w:val="Punkty główne"/>
    <w:basedOn w:val="Normalny"/>
    <w:rsid w:val="007F492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7F49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492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49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7F49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492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7F49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49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7F492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Pogrubienie">
    <w:name w:val="Strong"/>
    <w:basedOn w:val="Domylnaczcionkaakapitu"/>
    <w:uiPriority w:val="22"/>
    <w:qFormat/>
    <w:rsid w:val="007F4924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49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4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2057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2024-06-11T15:41:00Z</dcterms:created>
  <dcterms:modified xsi:type="dcterms:W3CDTF">2024-06-11T15:42:00Z</dcterms:modified>
</cp:coreProperties>
</file>